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tLeast"/>
        <w:rPr>
          <w:rFonts w:ascii="微软雅黑" w:hAnsi="微软雅黑" w:eastAsia="微软雅黑"/>
          <w:sz w:val="24"/>
        </w:rPr>
      </w:pPr>
      <w:bookmarkStart w:id="0" w:name="_Toc63602713"/>
      <w:bookmarkStart w:id="1" w:name="_Toc63601175"/>
      <w:bookmarkStart w:id="2" w:name="_Toc65091225"/>
      <w:r>
        <w:rPr>
          <w:rFonts w:hint="eastAsia" w:ascii="微软雅黑" w:hAnsi="微软雅黑" w:eastAsia="微软雅黑"/>
          <w:sz w:val="24"/>
        </w:rPr>
        <w:t>1、</w:t>
      </w:r>
      <w:r>
        <w:rPr>
          <w:rFonts w:ascii="微软雅黑" w:hAnsi="微软雅黑" w:eastAsia="微软雅黑"/>
          <w:sz w:val="24"/>
        </w:rPr>
        <w:t>中华戏曲</w:t>
      </w:r>
      <w:bookmarkEnd w:id="0"/>
      <w:bookmarkEnd w:id="1"/>
      <w:bookmarkEnd w:id="2"/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kern w:val="0"/>
          <w:szCs w:val="21"/>
        </w:rPr>
      </w:pPr>
      <w:r>
        <w:rPr>
          <w:rFonts w:ascii="微软雅黑" w:hAnsi="微软雅黑" w:eastAsia="微软雅黑" w:cs="微软雅黑"/>
          <w:kern w:val="0"/>
          <w:szCs w:val="21"/>
        </w:rPr>
        <w:t>将戏曲艺术纳入经济与社会发展的指标体系</w:t>
      </w:r>
      <w:r>
        <w:rPr>
          <w:rFonts w:hint="eastAsia" w:ascii="微软雅黑" w:hAnsi="微软雅黑" w:eastAsia="微软雅黑" w:cs="微软雅黑"/>
          <w:kern w:val="0"/>
          <w:szCs w:val="21"/>
        </w:rPr>
        <w:t>，</w:t>
      </w:r>
      <w:r>
        <w:rPr>
          <w:rFonts w:ascii="微软雅黑" w:hAnsi="微软雅黑" w:eastAsia="微软雅黑" w:cs="微软雅黑"/>
          <w:kern w:val="0"/>
          <w:szCs w:val="21"/>
        </w:rPr>
        <w:t>就是将戏曲发展</w:t>
      </w:r>
      <w:r>
        <w:rPr>
          <w:rFonts w:hint="eastAsia" w:ascii="微软雅黑" w:hAnsi="微软雅黑" w:eastAsia="微软雅黑" w:cs="微软雅黑"/>
          <w:kern w:val="0"/>
          <w:szCs w:val="21"/>
        </w:rPr>
        <w:t>、</w:t>
      </w:r>
      <w:r>
        <w:rPr>
          <w:rFonts w:ascii="微软雅黑" w:hAnsi="微软雅黑" w:eastAsia="微软雅黑" w:cs="微软雅黑"/>
          <w:kern w:val="0"/>
          <w:szCs w:val="21"/>
        </w:rPr>
        <w:t>文化繁荣与中国社会的现代化进程紧密相连</w:t>
      </w:r>
      <w:r>
        <w:rPr>
          <w:rFonts w:hint="eastAsia" w:ascii="微软雅黑" w:hAnsi="微软雅黑" w:eastAsia="微软雅黑" w:cs="微软雅黑"/>
          <w:kern w:val="0"/>
          <w:szCs w:val="21"/>
        </w:rPr>
        <w:t>，</w:t>
      </w:r>
      <w:r>
        <w:rPr>
          <w:rFonts w:ascii="微软雅黑" w:hAnsi="微软雅黑" w:eastAsia="微软雅黑" w:cs="微软雅黑"/>
          <w:kern w:val="0"/>
          <w:szCs w:val="21"/>
        </w:rPr>
        <w:t>这有助于形成更加丰富和完备的社会文化生态</w:t>
      </w:r>
      <w:r>
        <w:rPr>
          <w:rFonts w:hint="eastAsia" w:ascii="微软雅黑" w:hAnsi="微软雅黑" w:eastAsia="微软雅黑" w:cs="微软雅黑"/>
          <w:kern w:val="0"/>
          <w:szCs w:val="21"/>
        </w:rPr>
        <w:t>。</w:t>
      </w:r>
    </w:p>
    <w:p>
      <w:pPr>
        <w:spacing w:line="360" w:lineRule="exact"/>
        <w:ind w:firstLine="420" w:firstLineChars="200"/>
        <w:rPr>
          <w:rFonts w:ascii="微软雅黑" w:hAnsi="微软雅黑" w:eastAsia="微软雅黑" w:cs="微软雅黑"/>
          <w:kern w:val="0"/>
          <w:szCs w:val="21"/>
        </w:rPr>
      </w:pPr>
      <w:r>
        <w:rPr>
          <w:rFonts w:ascii="微软雅黑" w:hAnsi="微软雅黑" w:eastAsia="微软雅黑" w:cs="微软雅黑"/>
          <w:kern w:val="0"/>
          <w:szCs w:val="21"/>
        </w:rPr>
        <w:t>传承与发展戏曲艺术</w:t>
      </w:r>
      <w:r>
        <w:rPr>
          <w:rFonts w:hint="eastAsia" w:ascii="微软雅黑" w:hAnsi="微软雅黑" w:eastAsia="微软雅黑" w:cs="微软雅黑"/>
          <w:kern w:val="0"/>
          <w:szCs w:val="21"/>
        </w:rPr>
        <w:t>，</w:t>
      </w:r>
      <w:r>
        <w:rPr>
          <w:rFonts w:ascii="微软雅黑" w:hAnsi="微软雅黑" w:eastAsia="微软雅黑" w:cs="微软雅黑"/>
          <w:kern w:val="0"/>
          <w:szCs w:val="21"/>
        </w:rPr>
        <w:t>要从文化生态源头出发</w:t>
      </w:r>
      <w:r>
        <w:rPr>
          <w:rFonts w:hint="eastAsia" w:ascii="微软雅黑" w:hAnsi="微软雅黑" w:eastAsia="微软雅黑" w:cs="微软雅黑"/>
          <w:kern w:val="0"/>
          <w:szCs w:val="21"/>
        </w:rPr>
        <w:t>，</w:t>
      </w:r>
      <w:r>
        <w:rPr>
          <w:rFonts w:ascii="微软雅黑" w:hAnsi="微软雅黑" w:eastAsia="微软雅黑" w:cs="微软雅黑"/>
          <w:kern w:val="0"/>
          <w:szCs w:val="21"/>
        </w:rPr>
        <w:t>从新生代抓起</w:t>
      </w:r>
      <w:r>
        <w:rPr>
          <w:rFonts w:hint="eastAsia" w:ascii="微软雅黑" w:hAnsi="微软雅黑" w:eastAsia="微软雅黑" w:cs="微软雅黑"/>
          <w:kern w:val="0"/>
          <w:szCs w:val="21"/>
        </w:rPr>
        <w:t>，</w:t>
      </w:r>
      <w:r>
        <w:rPr>
          <w:rFonts w:ascii="微软雅黑" w:hAnsi="微软雅黑" w:eastAsia="微软雅黑" w:cs="微软雅黑"/>
          <w:kern w:val="0"/>
          <w:szCs w:val="21"/>
        </w:rPr>
        <w:t>加强戏曲通识教育</w:t>
      </w:r>
      <w:r>
        <w:rPr>
          <w:rFonts w:hint="eastAsia" w:ascii="微软雅黑" w:hAnsi="微软雅黑" w:eastAsia="微软雅黑" w:cs="微软雅黑"/>
          <w:kern w:val="0"/>
          <w:szCs w:val="21"/>
        </w:rPr>
        <w:t>，</w:t>
      </w:r>
      <w:r>
        <w:rPr>
          <w:rFonts w:ascii="微软雅黑" w:hAnsi="微软雅黑" w:eastAsia="微软雅黑" w:cs="微软雅黑"/>
          <w:kern w:val="0"/>
          <w:szCs w:val="21"/>
        </w:rPr>
        <w:t>强化中华优秀传统文化特别是以戏曲艺术为载体的教育活动</w:t>
      </w:r>
      <w:r>
        <w:rPr>
          <w:rFonts w:hint="eastAsia" w:ascii="微软雅黑" w:hAnsi="微软雅黑" w:eastAsia="微软雅黑" w:cs="微软雅黑"/>
          <w:kern w:val="0"/>
          <w:szCs w:val="21"/>
        </w:rPr>
        <w:t>。</w:t>
      </w:r>
    </w:p>
    <w:p>
      <w:pPr>
        <w:ind w:firstLine="420" w:firstLineChars="200"/>
        <w:jc w:val="center"/>
        <w:rPr>
          <w:rFonts w:hint="eastAsia" w:ascii="微软雅黑" w:hAnsi="微软雅黑" w:eastAsia="微软雅黑"/>
          <w:szCs w:val="21"/>
          <w:lang w:eastAsia="zh-CN"/>
        </w:rPr>
      </w:pPr>
      <w:bookmarkStart w:id="3" w:name="_GoBack"/>
      <w:r>
        <w:rPr>
          <w:rFonts w:hint="eastAsia" w:ascii="微软雅黑" w:hAnsi="微软雅黑" w:eastAsia="微软雅黑"/>
          <w:szCs w:val="21"/>
          <w:lang w:eastAsia="zh-CN"/>
        </w:rPr>
        <w:drawing>
          <wp:inline distT="0" distB="0" distL="114300" distR="114300">
            <wp:extent cx="2358390" cy="5356860"/>
            <wp:effectExtent l="0" t="0" r="0" b="15240"/>
            <wp:docPr id="1" name="图片 1" descr="中华戏曲2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华戏曲2(3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535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>
      <w:pPr>
        <w:spacing w:line="360" w:lineRule="exact"/>
        <w:jc w:val="left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参数要求如下</w:t>
      </w:r>
      <w:r>
        <w:rPr>
          <w:rFonts w:hint="eastAsia" w:ascii="微软雅黑" w:hAnsi="微软雅黑" w:eastAsia="微软雅黑"/>
          <w:b/>
          <w:szCs w:val="21"/>
        </w:rPr>
        <w:t>：</w:t>
      </w:r>
    </w:p>
    <w:tbl>
      <w:tblPr>
        <w:tblStyle w:val="5"/>
        <w:tblW w:w="82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134"/>
        <w:gridCol w:w="6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名称</w:t>
            </w:r>
          </w:p>
        </w:tc>
        <w:tc>
          <w:tcPr>
            <w:tcW w:w="6414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外观</w:t>
            </w:r>
          </w:p>
        </w:tc>
        <w:tc>
          <w:tcPr>
            <w:tcW w:w="6414" w:type="dxa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材质：钣金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外壳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：金属烤漆（黑色烤漆）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尺寸：≥宽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620mm*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460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mm*高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170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智能交互硬件</w:t>
            </w:r>
          </w:p>
        </w:tc>
        <w:tc>
          <w:tcPr>
            <w:tcW w:w="6414" w:type="dxa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屏幕规格：≥43寸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液晶屏：LG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/BOE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显示比例：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：1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6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屏幕分辨率：1080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*1920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可视角度：89/89/89/89（Typ.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(CR≥10)(上下左右)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亮度：≥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300cd/m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²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触摸介质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手指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触摸笔等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响应时间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：6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ms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主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板：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RK3399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内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存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：≥4G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存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：≥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32G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摄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像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：安卓摄像头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网络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：W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IFI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和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4G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模块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采用 LTE 3GPP Rel.11 技术，支持最大下行速率 150Mbps 和最大上行速率 50Mbps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)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5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★操作系统：Android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5.0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209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功能要求：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754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五大戏曲剧种：重点介绍各戏种历史，行当，特色名词、术语，以及重要的名家，剧团；各戏种的文化影响及评价。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54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戏曲欣赏：丰富的戏曲欣赏内容，含有京剧、越剧、黄梅戏、评剧、豫剧，精选经典曲目片段不少于1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754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经典戏歌：把戏曲唱腔和通俗歌曲结合，不少于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60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754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虚拟拍照：基于人脸识别技术和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图像采集合成技术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实现戏剧脸谱装扮，装扮脸谱数量不少于2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754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梨园资讯：展示相关资讯，对接其它戏曲平台，实时更新资讯。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</w:t>
            </w:r>
          </w:p>
        </w:tc>
        <w:tc>
          <w:tcPr>
            <w:tcW w:w="754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数据统计：应用物联网技术进行数据采集，基于Apache Spark框架，利用图表把每日，每周，每月的用户体验数据通过处理分析实现数据直观展示，数据存储于本地和云数据库，支持与其它云平台数据对接。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754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远程自动升级：应用物联网技术，软件使用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lua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架构，通过tc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p/ip ,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http协议通信，支持云端对应用软件（SOTA）进行远程自动升级。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VhNjM1ZDVjMDdkMzdmMDIzMjg5MWNjY2RiMjJmN2IifQ=="/>
  </w:docVars>
  <w:rsids>
    <w:rsidRoot w:val="0085520F"/>
    <w:rsid w:val="00273E1D"/>
    <w:rsid w:val="0085520F"/>
    <w:rsid w:val="00A66993"/>
    <w:rsid w:val="00DE3805"/>
    <w:rsid w:val="00ED0CE6"/>
    <w:rsid w:val="3B24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0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Calibri" w:hAnsi="Calibri" w:eastAsia="宋体" w:cs="Times New Roman"/>
      <w:b/>
      <w:bCs/>
      <w:kern w:val="44"/>
      <w:sz w:val="30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2</Pages>
  <Words>672</Words>
  <Characters>799</Characters>
  <Lines>6</Lines>
  <Paragraphs>1</Paragraphs>
  <TotalTime>22</TotalTime>
  <ScaleCrop>false</ScaleCrop>
  <LinksUpToDate>false</LinksUpToDate>
  <CharactersWithSpaces>816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2021-03-01T03:39:00Z</dcterms:created>
  <dc:creator>Admin</dc:creator>
  <cp:lastModifiedBy>苏州探寻文化</cp:lastModifiedBy>
  <dcterms:modified xsi:type="dcterms:W3CDTF">2022-10-27T05:53:11Z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4F3AC8EAFEB74EB3AC0981522EAE86EE</vt:lpwstr>
  </property>
</Properties>
</file>